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99" w:rsidRPr="000C1185" w:rsidRDefault="00461799" w:rsidP="00461799">
      <w:pPr>
        <w:pStyle w:val="Nadpis1"/>
        <w:shd w:val="clear" w:color="auto" w:fill="FFFFFF"/>
        <w:spacing w:before="60" w:after="60" w:line="420" w:lineRule="atLeast"/>
        <w:jc w:val="center"/>
        <w:rPr>
          <w:rFonts w:ascii="Arial" w:eastAsia="Times New Roman" w:hAnsi="Arial" w:cs="Arial"/>
          <w:color w:val="auto"/>
          <w:sz w:val="26"/>
          <w:szCs w:val="26"/>
          <w:u w:val="single"/>
          <w:lang w:eastAsia="cs-CZ"/>
        </w:rPr>
      </w:pPr>
      <w:r w:rsidRPr="00E33B89">
        <w:rPr>
          <w:rFonts w:ascii="Arial" w:eastAsia="Times New Roman" w:hAnsi="Arial" w:cs="Arial"/>
          <w:color w:val="auto"/>
          <w:sz w:val="26"/>
          <w:szCs w:val="26"/>
          <w:u w:val="single"/>
          <w:lang w:eastAsia="cs-CZ"/>
        </w:rPr>
        <w:t>Zákon č. 89/2012 Sb.</w:t>
      </w:r>
      <w:r w:rsidRPr="000C1185">
        <w:rPr>
          <w:rFonts w:ascii="Arial" w:eastAsia="Times New Roman" w:hAnsi="Arial" w:cs="Arial"/>
          <w:color w:val="auto"/>
          <w:sz w:val="26"/>
          <w:szCs w:val="26"/>
          <w:u w:val="single"/>
          <w:lang w:eastAsia="cs-CZ"/>
        </w:rPr>
        <w:t xml:space="preserve"> (Občanský zákoník)</w:t>
      </w:r>
    </w:p>
    <w:p w:rsidR="00E33B89" w:rsidRDefault="00E33B89" w:rsidP="00E33B89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A32E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Účinnost od </w:t>
      </w:r>
      <w:proofErr w:type="gramStart"/>
      <w:r w:rsidRPr="00E33B8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01.01.2014</w:t>
      </w:r>
      <w:proofErr w:type="gramEnd"/>
    </w:p>
    <w:p w:rsidR="00CD1F7B" w:rsidRPr="00AA32EC" w:rsidRDefault="00CD1F7B" w:rsidP="00E33B89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A32EC" w:rsidRDefault="00AA32EC" w:rsidP="00461799">
      <w:pPr>
        <w:pStyle w:val="hlav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82828"/>
          <w:sz w:val="22"/>
          <w:szCs w:val="22"/>
        </w:rPr>
      </w:pPr>
    </w:p>
    <w:p w:rsidR="00461799" w:rsidRDefault="00461799" w:rsidP="005B41F8">
      <w:pPr>
        <w:pStyle w:val="hlav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82828"/>
          <w:sz w:val="22"/>
          <w:szCs w:val="22"/>
        </w:rPr>
      </w:pPr>
      <w:r>
        <w:rPr>
          <w:rFonts w:ascii="Arial" w:hAnsi="Arial" w:cs="Arial"/>
          <w:b/>
          <w:bCs/>
          <w:color w:val="282828"/>
          <w:sz w:val="22"/>
          <w:szCs w:val="22"/>
        </w:rPr>
        <w:t>HLAVA II</w:t>
      </w:r>
    </w:p>
    <w:p w:rsidR="00461799" w:rsidRPr="00AA32EC" w:rsidRDefault="00461799" w:rsidP="005B41F8">
      <w:pPr>
        <w:pStyle w:val="Nadpi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  <w:sz w:val="22"/>
          <w:szCs w:val="22"/>
        </w:rPr>
      </w:pPr>
      <w:r w:rsidRPr="00AA32EC">
        <w:rPr>
          <w:rFonts w:ascii="Arial" w:hAnsi="Arial" w:cs="Arial"/>
          <w:color w:val="0070C0"/>
          <w:sz w:val="22"/>
          <w:szCs w:val="22"/>
        </w:rPr>
        <w:t>ZÁVAZKY Z PRÁVNÍCH JEDNÁNÍ</w:t>
      </w:r>
    </w:p>
    <w:p w:rsidR="00461799" w:rsidRDefault="00461799" w:rsidP="005B41F8">
      <w:pPr>
        <w:pStyle w:val="oddil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color w:val="40404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404040"/>
          <w:sz w:val="20"/>
          <w:szCs w:val="20"/>
          <w:shd w:val="clear" w:color="auto" w:fill="FFFFFF"/>
        </w:rPr>
        <w:t>Díl 2</w:t>
      </w:r>
    </w:p>
    <w:p w:rsidR="00AA32EC" w:rsidRPr="00AA32EC" w:rsidRDefault="00AA32EC" w:rsidP="005B41F8">
      <w:pPr>
        <w:pStyle w:val="Nadpis3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color w:val="0070C0"/>
          <w:sz w:val="22"/>
          <w:szCs w:val="22"/>
        </w:rPr>
      </w:pPr>
      <w:r w:rsidRPr="00AA32EC">
        <w:rPr>
          <w:rFonts w:ascii="Arial" w:hAnsi="Arial" w:cs="Arial"/>
          <w:color w:val="0070C0"/>
          <w:sz w:val="22"/>
          <w:szCs w:val="22"/>
        </w:rPr>
        <w:t>Přenechání věci k užití jinému</w:t>
      </w:r>
    </w:p>
    <w:p w:rsidR="00461799" w:rsidRDefault="00461799" w:rsidP="005B41F8">
      <w:pPr>
        <w:pStyle w:val="oddil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</w:rPr>
        <w:t>Oddíl 3</w:t>
      </w:r>
    </w:p>
    <w:p w:rsidR="00461799" w:rsidRPr="00AA32EC" w:rsidRDefault="00461799" w:rsidP="005B41F8">
      <w:pPr>
        <w:pStyle w:val="Nadpis3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color w:val="0070C0"/>
          <w:sz w:val="22"/>
          <w:szCs w:val="22"/>
        </w:rPr>
      </w:pPr>
      <w:r w:rsidRPr="00AA32EC">
        <w:rPr>
          <w:rFonts w:ascii="Arial" w:hAnsi="Arial" w:cs="Arial"/>
          <w:color w:val="0070C0"/>
          <w:sz w:val="22"/>
          <w:szCs w:val="22"/>
        </w:rPr>
        <w:t>Nájem</w:t>
      </w:r>
    </w:p>
    <w:p w:rsidR="00461799" w:rsidRDefault="00461799" w:rsidP="005B41F8">
      <w:pPr>
        <w:pStyle w:val="oddil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color w:val="404040"/>
          <w:sz w:val="20"/>
          <w:szCs w:val="20"/>
        </w:rPr>
      </w:pPr>
      <w:r>
        <w:rPr>
          <w:rFonts w:ascii="Arial" w:hAnsi="Arial" w:cs="Arial"/>
          <w:b/>
          <w:bCs/>
          <w:color w:val="404040"/>
          <w:sz w:val="20"/>
          <w:szCs w:val="20"/>
        </w:rPr>
        <w:t>Pododdíl 2</w:t>
      </w:r>
    </w:p>
    <w:p w:rsidR="00461799" w:rsidRPr="00AA32EC" w:rsidRDefault="00461799" w:rsidP="005B41F8">
      <w:pPr>
        <w:pStyle w:val="Nadpis3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color w:val="0070C0"/>
          <w:sz w:val="22"/>
          <w:szCs w:val="22"/>
        </w:rPr>
      </w:pPr>
      <w:r w:rsidRPr="00AA32EC">
        <w:rPr>
          <w:rFonts w:ascii="Arial" w:hAnsi="Arial" w:cs="Arial"/>
          <w:color w:val="0070C0"/>
          <w:sz w:val="22"/>
          <w:szCs w:val="22"/>
        </w:rPr>
        <w:t>Zvláštní ustanovení o nájmu bytu a nájmu domu</w:t>
      </w:r>
    </w:p>
    <w:p w:rsidR="00AA32EC" w:rsidRPr="00AA32EC" w:rsidRDefault="00AA32EC" w:rsidP="005B41F8">
      <w:pPr>
        <w:shd w:val="clear" w:color="auto" w:fill="FFFFFF"/>
        <w:spacing w:before="60"/>
        <w:jc w:val="center"/>
        <w:outlineLvl w:val="2"/>
        <w:rPr>
          <w:rFonts w:ascii="Arial" w:eastAsia="Times New Roman" w:hAnsi="Arial" w:cs="Arial"/>
          <w:b/>
          <w:bCs/>
          <w:color w:val="0070C0"/>
          <w:lang w:eastAsia="cs-CZ"/>
        </w:rPr>
      </w:pPr>
      <w:r w:rsidRPr="00AA32EC">
        <w:rPr>
          <w:rFonts w:ascii="Arial" w:eastAsia="Times New Roman" w:hAnsi="Arial" w:cs="Arial"/>
          <w:b/>
          <w:bCs/>
          <w:color w:val="0070C0"/>
          <w:lang w:eastAsia="cs-CZ"/>
        </w:rPr>
        <w:t>Členové nájemcovy domácnosti</w:t>
      </w:r>
    </w:p>
    <w:p w:rsidR="00AA32EC" w:rsidRPr="00AA32EC" w:rsidRDefault="00AA32EC" w:rsidP="00AA32EC">
      <w:pPr>
        <w:shd w:val="clear" w:color="auto" w:fill="FFFFFF"/>
        <w:spacing w:before="0"/>
        <w:rPr>
          <w:rFonts w:ascii="Arial" w:eastAsia="Times New Roman" w:hAnsi="Arial" w:cs="Arial"/>
          <w:b/>
          <w:bCs/>
          <w:color w:val="FF8400"/>
          <w:sz w:val="21"/>
          <w:szCs w:val="21"/>
          <w:lang w:eastAsia="cs-CZ"/>
        </w:rPr>
      </w:pPr>
      <w:r w:rsidRPr="00AA32EC">
        <w:rPr>
          <w:rFonts w:ascii="Arial" w:eastAsia="Times New Roman" w:hAnsi="Arial" w:cs="Arial"/>
          <w:b/>
          <w:bCs/>
          <w:color w:val="FF8400"/>
          <w:sz w:val="21"/>
          <w:szCs w:val="21"/>
          <w:lang w:eastAsia="cs-CZ"/>
        </w:rPr>
        <w:t>§ 2272</w:t>
      </w:r>
    </w:p>
    <w:p w:rsidR="00AA32EC" w:rsidRPr="00AA32EC" w:rsidRDefault="00AA32EC" w:rsidP="00AA32EC">
      <w:pPr>
        <w:shd w:val="clear" w:color="auto" w:fill="FFFFFF"/>
        <w:spacing w:before="60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A32E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(1)</w:t>
      </w:r>
      <w:r w:rsidRPr="00AA32E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Nájemce má právo přijímat ve své domácnosti kohokoli. Přijme-li nájemce nového člena své domácnosti, </w:t>
      </w:r>
      <w:r w:rsidRPr="00AA32EC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oznámí zvýšení počtu osob</w:t>
      </w:r>
      <w:r w:rsidRPr="00AA32E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žijících v bytě bez zbytečného odkladu pronajímateli; neučiní-li to nájemce ani do dvou měsíců, co změna nastala, má se za to, že </w:t>
      </w:r>
      <w:r w:rsidRPr="00AA32EC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závažně porušil svou povinnost</w:t>
      </w:r>
      <w:r w:rsidRPr="00AA32E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AA32EC" w:rsidRPr="00AA32EC" w:rsidRDefault="00AA32EC" w:rsidP="00AA32EC">
      <w:pPr>
        <w:shd w:val="clear" w:color="auto" w:fill="FFFFFF"/>
        <w:spacing w:before="60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A32E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(2)</w:t>
      </w:r>
      <w:r w:rsidRPr="00AA32E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Pronajímatel má právo vyhradit si ve smlouvě souhlas s přijetím nového člena do nájemcovy domácnosti. To neplatí, jedná-li se o osobu blízkou anebo další případy zvláštního zřetele hodné. Pro souhlas pronajímatele </w:t>
      </w:r>
      <w:r w:rsidRPr="004C5697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s přijetím osoby jiné než blízké za člena nájemcovy domácnosti se vyžaduje písemná forma</w:t>
      </w:r>
      <w:r w:rsidRPr="00AA32E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AA32EC" w:rsidRPr="00AA32EC" w:rsidRDefault="00AA32EC" w:rsidP="00AA32EC">
      <w:pPr>
        <w:shd w:val="clear" w:color="auto" w:fill="FFFFFF"/>
        <w:spacing w:before="60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A32E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(3)</w:t>
      </w:r>
      <w:r w:rsidRPr="00AA32E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Pronajímatel má právo požadovat, aby v nájemcově domácnosti </w:t>
      </w:r>
      <w:r w:rsidRPr="004C5697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žil jen takový počet osob</w:t>
      </w:r>
      <w:r w:rsidRPr="00AA32E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který je přiměřený velikosti bytu a nebrání tomu, aby všechny mohly v bytě žít v obvyklých pohodlných a hygienicky vyhovujících podmínkách.</w:t>
      </w:r>
    </w:p>
    <w:p w:rsidR="00461799" w:rsidRPr="004C5697" w:rsidRDefault="00461799" w:rsidP="005B41F8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color w:val="0070C0"/>
          <w:lang w:eastAsia="cs-CZ"/>
        </w:rPr>
      </w:pPr>
      <w:r w:rsidRPr="004C5697">
        <w:rPr>
          <w:rFonts w:ascii="Arial" w:eastAsia="Times New Roman" w:hAnsi="Arial" w:cs="Arial"/>
          <w:b/>
          <w:bCs/>
          <w:color w:val="0070C0"/>
          <w:lang w:eastAsia="cs-CZ"/>
        </w:rPr>
        <w:t>Podnájem</w:t>
      </w:r>
    </w:p>
    <w:p w:rsidR="00461799" w:rsidRPr="00AA32EC" w:rsidRDefault="00461799" w:rsidP="00E52EBC">
      <w:pPr>
        <w:shd w:val="clear" w:color="auto" w:fill="FFFFFF"/>
        <w:spacing w:before="60"/>
        <w:rPr>
          <w:rFonts w:ascii="Arial" w:eastAsia="Times New Roman" w:hAnsi="Arial" w:cs="Arial"/>
          <w:b/>
          <w:bCs/>
          <w:color w:val="FF8400"/>
          <w:sz w:val="21"/>
          <w:szCs w:val="21"/>
          <w:lang w:eastAsia="cs-CZ"/>
        </w:rPr>
      </w:pPr>
      <w:r w:rsidRPr="00AA32EC">
        <w:rPr>
          <w:rFonts w:ascii="Arial" w:eastAsia="Times New Roman" w:hAnsi="Arial" w:cs="Arial"/>
          <w:b/>
          <w:bCs/>
          <w:color w:val="FF8400"/>
          <w:sz w:val="21"/>
          <w:szCs w:val="21"/>
          <w:lang w:eastAsia="cs-CZ"/>
        </w:rPr>
        <w:t>§ 2274</w:t>
      </w:r>
    </w:p>
    <w:p w:rsidR="00461799" w:rsidRPr="00461799" w:rsidRDefault="00461799" w:rsidP="00E52EBC">
      <w:pPr>
        <w:shd w:val="clear" w:color="auto" w:fill="FFFFFF"/>
        <w:spacing w:before="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617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Nájemce může dát třetí osobě do podnájmu část bytu, </w:t>
      </w:r>
      <w:r w:rsidRPr="002D5BB6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pokud v bytě sám trvale bydlí</w:t>
      </w:r>
      <w:r w:rsidRPr="004617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i bez souhlasu pronajímatele. Ustanovení § 2272 se použije přiměřeně.</w:t>
      </w:r>
    </w:p>
    <w:p w:rsidR="00461799" w:rsidRPr="00AA32EC" w:rsidRDefault="00461799" w:rsidP="00E52EBC">
      <w:pPr>
        <w:shd w:val="clear" w:color="auto" w:fill="FFFFFF"/>
        <w:spacing w:before="60"/>
        <w:rPr>
          <w:rFonts w:ascii="Arial" w:eastAsia="Times New Roman" w:hAnsi="Arial" w:cs="Arial"/>
          <w:b/>
          <w:bCs/>
          <w:color w:val="FF8400"/>
          <w:sz w:val="21"/>
          <w:szCs w:val="21"/>
          <w:lang w:eastAsia="cs-CZ"/>
        </w:rPr>
      </w:pPr>
      <w:r w:rsidRPr="00AA32EC">
        <w:rPr>
          <w:rFonts w:ascii="Arial" w:eastAsia="Times New Roman" w:hAnsi="Arial" w:cs="Arial"/>
          <w:b/>
          <w:bCs/>
          <w:color w:val="FF8400"/>
          <w:sz w:val="21"/>
          <w:szCs w:val="21"/>
          <w:lang w:eastAsia="cs-CZ"/>
        </w:rPr>
        <w:t>§ 2275</w:t>
      </w:r>
    </w:p>
    <w:p w:rsidR="00461799" w:rsidRPr="00461799" w:rsidRDefault="00461799" w:rsidP="00E52EBC">
      <w:pPr>
        <w:shd w:val="clear" w:color="auto" w:fill="FFFFFF"/>
        <w:spacing w:before="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6179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(1)</w:t>
      </w:r>
      <w:r w:rsidRPr="004617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V případě, že </w:t>
      </w:r>
      <w:r w:rsidRPr="002D5BB6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nájemce v bytě sám trvale nebydlí</w:t>
      </w:r>
      <w:r w:rsidRPr="004617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může dát třetí osobě do podnájmu byt nebo jeho část pouze se souhlasem pronajímatele.</w:t>
      </w:r>
    </w:p>
    <w:p w:rsidR="00461799" w:rsidRPr="00461799" w:rsidRDefault="00461799" w:rsidP="00E52EBC">
      <w:pPr>
        <w:shd w:val="clear" w:color="auto" w:fill="FFFFFF"/>
        <w:spacing w:before="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6179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(2)</w:t>
      </w:r>
      <w:r w:rsidRPr="004617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2D5BB6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Žádost o udělení souhlasu k podnájmu i souhlas s podnájmem vyžadují písemnou formu</w:t>
      </w:r>
      <w:r w:rsidR="002D5BB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Pr="004617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Nevyjádří-li se pronajímatel k žádosti ve lhůtě jednoho měsíce, považuje se souhlas za daný; to neplatí, pokud byl ujednán zákaz podnájmu.</w:t>
      </w:r>
    </w:p>
    <w:p w:rsidR="00461799" w:rsidRPr="00AA32EC" w:rsidRDefault="00461799" w:rsidP="00E52EBC">
      <w:pPr>
        <w:shd w:val="clear" w:color="auto" w:fill="FFFFFF"/>
        <w:spacing w:before="60"/>
        <w:rPr>
          <w:rFonts w:ascii="Arial" w:eastAsia="Times New Roman" w:hAnsi="Arial" w:cs="Arial"/>
          <w:b/>
          <w:bCs/>
          <w:color w:val="FF8400"/>
          <w:sz w:val="21"/>
          <w:szCs w:val="21"/>
          <w:lang w:eastAsia="cs-CZ"/>
        </w:rPr>
      </w:pPr>
      <w:r w:rsidRPr="00AA32EC">
        <w:rPr>
          <w:rFonts w:ascii="Arial" w:eastAsia="Times New Roman" w:hAnsi="Arial" w:cs="Arial"/>
          <w:b/>
          <w:bCs/>
          <w:color w:val="FF8400"/>
          <w:sz w:val="21"/>
          <w:szCs w:val="21"/>
          <w:lang w:eastAsia="cs-CZ"/>
        </w:rPr>
        <w:t>§ 2276</w:t>
      </w:r>
      <w:bookmarkStart w:id="0" w:name="_GoBack"/>
      <w:bookmarkEnd w:id="0"/>
    </w:p>
    <w:p w:rsidR="00461799" w:rsidRPr="00461799" w:rsidRDefault="00461799" w:rsidP="00E52EBC">
      <w:pPr>
        <w:shd w:val="clear" w:color="auto" w:fill="FFFFFF"/>
        <w:spacing w:before="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D5BB6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Dá-li nájemce byt nebo jeho část do podnájmu třetí osobě v rozporu s ustanovením</w:t>
      </w:r>
      <w:r w:rsidRPr="004617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§ 2274 a 2275, </w:t>
      </w:r>
      <w:r w:rsidRPr="002D5BB6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hrubě tím poruší svou povinnost</w:t>
      </w:r>
      <w:r w:rsidRPr="004617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461799" w:rsidRPr="00AA32EC" w:rsidRDefault="00461799" w:rsidP="00E52EBC">
      <w:pPr>
        <w:shd w:val="clear" w:color="auto" w:fill="FFFFFF"/>
        <w:spacing w:before="60"/>
        <w:rPr>
          <w:rFonts w:ascii="Arial" w:eastAsia="Times New Roman" w:hAnsi="Arial" w:cs="Arial"/>
          <w:b/>
          <w:bCs/>
          <w:color w:val="FF8400"/>
          <w:sz w:val="21"/>
          <w:szCs w:val="21"/>
          <w:lang w:eastAsia="cs-CZ"/>
        </w:rPr>
      </w:pPr>
      <w:r w:rsidRPr="00AA32EC">
        <w:rPr>
          <w:rFonts w:ascii="Arial" w:eastAsia="Times New Roman" w:hAnsi="Arial" w:cs="Arial"/>
          <w:b/>
          <w:bCs/>
          <w:color w:val="FF8400"/>
          <w:sz w:val="21"/>
          <w:szCs w:val="21"/>
          <w:lang w:eastAsia="cs-CZ"/>
        </w:rPr>
        <w:t>§ 2277</w:t>
      </w:r>
    </w:p>
    <w:p w:rsidR="00461799" w:rsidRPr="00461799" w:rsidRDefault="00461799" w:rsidP="00E52EBC">
      <w:pPr>
        <w:shd w:val="clear" w:color="auto" w:fill="FFFFFF"/>
        <w:spacing w:before="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617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Podnájem končí společně s nájmem. Končí-li nájem, sdělí to nájemce podnájemci s uvedením rozhodných skutečností; jimi jsou zejména den skončení nájmu a popřípadě i délka výpovědní doby a počátek jejího běhu.</w:t>
      </w:r>
    </w:p>
    <w:p w:rsidR="00461799" w:rsidRPr="00AA32EC" w:rsidRDefault="00461799" w:rsidP="00E52EBC">
      <w:pPr>
        <w:shd w:val="clear" w:color="auto" w:fill="FFFFFF"/>
        <w:spacing w:before="60"/>
        <w:rPr>
          <w:rFonts w:ascii="Arial" w:eastAsia="Times New Roman" w:hAnsi="Arial" w:cs="Arial"/>
          <w:b/>
          <w:bCs/>
          <w:color w:val="FF8400"/>
          <w:sz w:val="21"/>
          <w:szCs w:val="21"/>
          <w:lang w:eastAsia="cs-CZ"/>
        </w:rPr>
      </w:pPr>
      <w:r w:rsidRPr="00AA32EC">
        <w:rPr>
          <w:rFonts w:ascii="Arial" w:eastAsia="Times New Roman" w:hAnsi="Arial" w:cs="Arial"/>
          <w:b/>
          <w:bCs/>
          <w:color w:val="FF8400"/>
          <w:sz w:val="21"/>
          <w:szCs w:val="21"/>
          <w:lang w:eastAsia="cs-CZ"/>
        </w:rPr>
        <w:t>§ 2278</w:t>
      </w:r>
    </w:p>
    <w:p w:rsidR="00461799" w:rsidRPr="00461799" w:rsidRDefault="00461799" w:rsidP="00E52EBC">
      <w:pPr>
        <w:shd w:val="clear" w:color="auto" w:fill="FFFFFF"/>
        <w:spacing w:before="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617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Podnájem skončí nejpozději s nájmem.</w:t>
      </w:r>
    </w:p>
    <w:p w:rsidR="00461799" w:rsidRDefault="00461799" w:rsidP="001F0C10">
      <w:pPr>
        <w:rPr>
          <w:rFonts w:ascii="Times New Roman" w:hAnsi="Times New Roman" w:cs="Times New Roman"/>
          <w:sz w:val="24"/>
          <w:szCs w:val="24"/>
        </w:rPr>
      </w:pPr>
    </w:p>
    <w:sectPr w:rsidR="00461799" w:rsidSect="001F0C1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99"/>
    <w:rsid w:val="000C1185"/>
    <w:rsid w:val="001F0C10"/>
    <w:rsid w:val="002B0159"/>
    <w:rsid w:val="002C119E"/>
    <w:rsid w:val="002D5BB6"/>
    <w:rsid w:val="00461799"/>
    <w:rsid w:val="004C5697"/>
    <w:rsid w:val="005B41F8"/>
    <w:rsid w:val="00AA32EC"/>
    <w:rsid w:val="00B44F05"/>
    <w:rsid w:val="00BF780C"/>
    <w:rsid w:val="00CD1F7B"/>
    <w:rsid w:val="00E33B89"/>
    <w:rsid w:val="00E5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F05"/>
  </w:style>
  <w:style w:type="paragraph" w:styleId="Nadpis1">
    <w:name w:val="heading 1"/>
    <w:basedOn w:val="Normln"/>
    <w:next w:val="Normln"/>
    <w:link w:val="Nadpis1Char"/>
    <w:uiPriority w:val="9"/>
    <w:qFormat/>
    <w:rsid w:val="00461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461799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6179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ara">
    <w:name w:val="para"/>
    <w:basedOn w:val="Normln"/>
    <w:rsid w:val="004617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">
    <w:name w:val="go"/>
    <w:basedOn w:val="Normln"/>
    <w:rsid w:val="004617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61799"/>
    <w:rPr>
      <w:i/>
      <w:iCs/>
    </w:rPr>
  </w:style>
  <w:style w:type="character" w:customStyle="1" w:styleId="apple-converted-space">
    <w:name w:val="apple-converted-space"/>
    <w:basedOn w:val="Standardnpsmoodstavce"/>
    <w:rsid w:val="00461799"/>
  </w:style>
  <w:style w:type="paragraph" w:customStyle="1" w:styleId="oddil">
    <w:name w:val="oddil"/>
    <w:basedOn w:val="Normln"/>
    <w:rsid w:val="004617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4617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6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1a">
    <w:name w:val="h1a"/>
    <w:basedOn w:val="Standardnpsmoodstavce"/>
    <w:rsid w:val="00461799"/>
  </w:style>
  <w:style w:type="character" w:styleId="Hypertextovodkaz">
    <w:name w:val="Hyperlink"/>
    <w:basedOn w:val="Standardnpsmoodstavce"/>
    <w:uiPriority w:val="99"/>
    <w:semiHidden/>
    <w:unhideWhenUsed/>
    <w:rsid w:val="00AA32E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F05"/>
  </w:style>
  <w:style w:type="paragraph" w:styleId="Nadpis1">
    <w:name w:val="heading 1"/>
    <w:basedOn w:val="Normln"/>
    <w:next w:val="Normln"/>
    <w:link w:val="Nadpis1Char"/>
    <w:uiPriority w:val="9"/>
    <w:qFormat/>
    <w:rsid w:val="00461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461799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6179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ara">
    <w:name w:val="para"/>
    <w:basedOn w:val="Normln"/>
    <w:rsid w:val="004617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">
    <w:name w:val="go"/>
    <w:basedOn w:val="Normln"/>
    <w:rsid w:val="004617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61799"/>
    <w:rPr>
      <w:i/>
      <w:iCs/>
    </w:rPr>
  </w:style>
  <w:style w:type="character" w:customStyle="1" w:styleId="apple-converted-space">
    <w:name w:val="apple-converted-space"/>
    <w:basedOn w:val="Standardnpsmoodstavce"/>
    <w:rsid w:val="00461799"/>
  </w:style>
  <w:style w:type="paragraph" w:customStyle="1" w:styleId="oddil">
    <w:name w:val="oddil"/>
    <w:basedOn w:val="Normln"/>
    <w:rsid w:val="004617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4617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6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1a">
    <w:name w:val="h1a"/>
    <w:basedOn w:val="Standardnpsmoodstavce"/>
    <w:rsid w:val="00461799"/>
  </w:style>
  <w:style w:type="character" w:styleId="Hypertextovodkaz">
    <w:name w:val="Hyperlink"/>
    <w:basedOn w:val="Standardnpsmoodstavce"/>
    <w:uiPriority w:val="99"/>
    <w:semiHidden/>
    <w:unhideWhenUsed/>
    <w:rsid w:val="00AA32E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Zákon č. 89/2012 Sb. (Občanský zákoník)</vt:lpstr>
      <vt:lpstr>        ZÁVAZKY Z PRÁVNÍCH JEDNÁNÍ</vt:lpstr>
      <vt:lpstr>        Přenechání věci k užití jinému</vt:lpstr>
      <vt:lpstr>        Nájem</vt:lpstr>
      <vt:lpstr>        Zvláštní ustanovení o nájmu bytu a nájmu domu</vt:lpstr>
      <vt:lpstr>        Členové nájemcovy domácnosti</vt:lpstr>
      <vt:lpstr>        (1) Nájemce má právo přijímat ve své domácnosti kohokoli. Přijme-li nájemce nov</vt:lpstr>
      <vt:lpstr>        (2) Pronajímatel má právo vyhradit si ve smlouvě souhlas s přijetím nového člena</vt:lpstr>
      <vt:lpstr>        (3) Pronajímatel má právo požadovat, aby v nájemcově domácnosti žil jen takový p</vt:lpstr>
      <vt:lpstr>        Podnájem</vt:lpstr>
    </vt:vector>
  </TitlesOfParts>
  <Company>Hewlett-Packard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</dc:creator>
  <cp:lastModifiedBy>Jaromír</cp:lastModifiedBy>
  <cp:revision>5</cp:revision>
  <dcterms:created xsi:type="dcterms:W3CDTF">2016-01-16T07:03:00Z</dcterms:created>
  <dcterms:modified xsi:type="dcterms:W3CDTF">2016-01-16T07:23:00Z</dcterms:modified>
</cp:coreProperties>
</file>